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b w:val="1"/>
          <w:sz w:val="28"/>
          <w:szCs w:val="28"/>
          <w:u w:val="single"/>
          <w:rtl w:val="0"/>
        </w:rPr>
        <w:t xml:space="preserve">ONLINE PETITION</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An important action for Monday and every day during the week is to sign and circulate widely an online petition where individuals can support the collective demands for decarceration.</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The petition is created and managed by the Recovery Advocacy Project of Maine. Each signature will send an email to the inboxes of Governor Mills’ staff, the Department of Corrections Commissioner, and the Associate Commissioner of Juvenile Services. </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Here is the link: </w:t>
      </w:r>
      <w:hyperlink r:id="rId6">
        <w:r w:rsidDel="00000000" w:rsidR="00000000" w:rsidRPr="00000000">
          <w:rPr>
            <w:color w:val="1155cc"/>
            <w:sz w:val="28"/>
            <w:szCs w:val="28"/>
            <w:u w:val="single"/>
            <w:rtl w:val="0"/>
          </w:rPr>
          <w:t xml:space="preserve">https://actionnetwork.org/letters/releaseourlovedones/</w:t>
        </w:r>
      </w:hyperlink>
      <w:r w:rsidDel="00000000" w:rsidR="00000000" w:rsidRPr="00000000">
        <w:rPr>
          <w:sz w:val="28"/>
          <w:szCs w:val="28"/>
          <w:rtl w:val="0"/>
        </w:rPr>
        <w:t xml:space="preserve">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When posting graphics, articles or other information about the Week of Action, feel free to re-post the online petition as frequently as you see fit.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ctionnetwork.org/letters/releaseourloved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